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0A48" w14:textId="77777777" w:rsidR="000A74D6" w:rsidRDefault="000A74D6" w:rsidP="000A74D6">
      <w:pPr>
        <w:bidi/>
        <w:jc w:val="center"/>
        <w:rPr>
          <w:rFonts w:ascii="Midan" w:hAnsi="Midan" w:cs="Midan"/>
          <w:sz w:val="28"/>
          <w:szCs w:val="28"/>
          <w:rtl/>
        </w:rPr>
      </w:pPr>
    </w:p>
    <w:p w14:paraId="57F338CF" w14:textId="185B98CA" w:rsidR="000A74D6" w:rsidRPr="000A74D6" w:rsidRDefault="000A74D6" w:rsidP="000A74D6">
      <w:pPr>
        <w:bidi/>
        <w:jc w:val="center"/>
        <w:rPr>
          <w:rFonts w:ascii="Shilia 330 Light" w:hAnsi="Shilia 330 Light" w:cs="Shilia 330 Light"/>
          <w:sz w:val="28"/>
          <w:szCs w:val="28"/>
          <w:rtl/>
        </w:rPr>
      </w:pPr>
      <w:bookmarkStart w:id="0" w:name="_GoBack"/>
      <w:r w:rsidRPr="000A74D6">
        <w:rPr>
          <w:rFonts w:ascii="Shilia 330 Light" w:hAnsi="Shilia 330 Light" w:cs="Shilia 330 Light"/>
          <w:sz w:val="28"/>
          <w:szCs w:val="28"/>
          <w:rtl/>
        </w:rPr>
        <w:t xml:space="preserve">المتحف الفلسطيني ضمن القائمة القصيرة لجائزة </w:t>
      </w:r>
      <w:proofErr w:type="spellStart"/>
      <w:r>
        <w:rPr>
          <w:rFonts w:ascii="Shilia 330 Light" w:hAnsi="Shilia 330 Light" w:cs="Shilia 330 Light" w:hint="cs"/>
          <w:sz w:val="28"/>
          <w:szCs w:val="28"/>
          <w:rtl/>
        </w:rPr>
        <w:t>ال</w:t>
      </w:r>
      <w:r w:rsidRPr="000A74D6">
        <w:rPr>
          <w:rFonts w:ascii="Shilia 330 Light" w:hAnsi="Shilia 330 Light" w:cs="Shilia 330 Light"/>
          <w:sz w:val="28"/>
          <w:szCs w:val="28"/>
          <w:rtl/>
        </w:rPr>
        <w:t>آغا</w:t>
      </w:r>
      <w:proofErr w:type="spellEnd"/>
      <w:r w:rsidRPr="000A74D6">
        <w:rPr>
          <w:rFonts w:ascii="Shilia 330 Light" w:hAnsi="Shilia 330 Light" w:cs="Shilia 330 Light"/>
          <w:sz w:val="28"/>
          <w:szCs w:val="28"/>
          <w:rtl/>
        </w:rPr>
        <w:t xml:space="preserve"> خان للعمارة 2019</w:t>
      </w:r>
    </w:p>
    <w:bookmarkEnd w:id="0"/>
    <w:p w14:paraId="28D73012" w14:textId="77777777" w:rsidR="000A74D6" w:rsidRPr="000A74D6" w:rsidRDefault="000A74D6" w:rsidP="000A74D6">
      <w:pPr>
        <w:bidi/>
        <w:jc w:val="center"/>
        <w:rPr>
          <w:rFonts w:ascii="Midan" w:hAnsi="Midan" w:cs="Midan"/>
          <w:b/>
          <w:bCs/>
          <w:sz w:val="28"/>
          <w:szCs w:val="28"/>
          <w:rtl/>
        </w:rPr>
      </w:pPr>
      <w:r w:rsidRPr="000A74D6">
        <w:rPr>
          <w:rFonts w:ascii="Midan" w:hAnsi="Midan" w:cs="Midan"/>
          <w:b/>
          <w:bCs/>
          <w:sz w:val="28"/>
          <w:szCs w:val="28"/>
          <w:rtl/>
        </w:rPr>
        <w:t>تشكيل لجنة التحكيم العليا للإعلان عن الفائز بجائزة المليون دولار</w:t>
      </w:r>
    </w:p>
    <w:p w14:paraId="625BF855" w14:textId="77777777" w:rsidR="000A74D6" w:rsidRPr="000A74D6" w:rsidRDefault="000A74D6" w:rsidP="000A74D6">
      <w:pPr>
        <w:bidi/>
        <w:jc w:val="both"/>
        <w:rPr>
          <w:rFonts w:ascii="Midan" w:hAnsi="Midan" w:cs="Midan"/>
          <w:sz w:val="28"/>
          <w:szCs w:val="28"/>
          <w:rtl/>
        </w:rPr>
      </w:pPr>
    </w:p>
    <w:p w14:paraId="7D52ADE4" w14:textId="5B0F96D7" w:rsidR="000A74D6" w:rsidRDefault="000A74D6" w:rsidP="000A74D6">
      <w:pPr>
        <w:bidi/>
        <w:jc w:val="both"/>
        <w:rPr>
          <w:rFonts w:ascii="Midan" w:hAnsi="Midan" w:cs="Midan"/>
          <w:sz w:val="28"/>
          <w:szCs w:val="28"/>
          <w:rtl/>
        </w:rPr>
      </w:pPr>
      <w:r w:rsidRPr="000A74D6">
        <w:rPr>
          <w:rFonts w:ascii="Midan" w:hAnsi="Midan" w:cs="Midan"/>
          <w:sz w:val="28"/>
          <w:szCs w:val="28"/>
          <w:rtl/>
        </w:rPr>
        <w:t xml:space="preserve">25 نيسان 2019/ بيرزيت، رام الله: اختير المتحف الفلسطيني ضمن القائمة القصيرة لجائزة </w:t>
      </w:r>
      <w:proofErr w:type="spellStart"/>
      <w:r>
        <w:rPr>
          <w:rFonts w:ascii="Midan" w:hAnsi="Midan" w:cs="Midan"/>
          <w:sz w:val="28"/>
          <w:szCs w:val="28"/>
          <w:rtl/>
        </w:rPr>
        <w:t>الآغا</w:t>
      </w:r>
      <w:proofErr w:type="spellEnd"/>
      <w:r w:rsidRPr="000A74D6">
        <w:rPr>
          <w:rFonts w:ascii="Midan" w:hAnsi="Midan" w:cs="Midan"/>
          <w:sz w:val="28"/>
          <w:szCs w:val="28"/>
          <w:rtl/>
        </w:rPr>
        <w:t xml:space="preserve"> خان للعمارة، وأعلن عن أسماء المرشحين في القائمة القصيرة في بيان ألقاه اليوم السيد فرخ </w:t>
      </w:r>
      <w:proofErr w:type="spellStart"/>
      <w:r w:rsidRPr="000A74D6">
        <w:rPr>
          <w:rFonts w:ascii="Midan" w:hAnsi="Midan" w:cs="Midan"/>
          <w:sz w:val="28"/>
          <w:szCs w:val="28"/>
          <w:rtl/>
        </w:rPr>
        <w:t>درخشاني</w:t>
      </w:r>
      <w:proofErr w:type="spellEnd"/>
      <w:r w:rsidRPr="000A74D6">
        <w:rPr>
          <w:rFonts w:ascii="Midan" w:hAnsi="Midan" w:cs="Midan"/>
          <w:sz w:val="28"/>
          <w:szCs w:val="28"/>
          <w:rtl/>
        </w:rPr>
        <w:t>، مدير الجائزة، في قازان، روسيا.</w:t>
      </w:r>
    </w:p>
    <w:p w14:paraId="3F474A78" w14:textId="77777777" w:rsidR="000A74D6" w:rsidRPr="000A74D6" w:rsidRDefault="000A74D6" w:rsidP="000A74D6">
      <w:pPr>
        <w:bidi/>
        <w:jc w:val="both"/>
        <w:rPr>
          <w:rFonts w:ascii="Midan" w:hAnsi="Midan" w:cs="Midan"/>
          <w:sz w:val="28"/>
          <w:szCs w:val="28"/>
          <w:rtl/>
        </w:rPr>
      </w:pPr>
    </w:p>
    <w:p w14:paraId="67E5FBF0" w14:textId="2D00C05A" w:rsidR="000A74D6" w:rsidRDefault="000A74D6" w:rsidP="000A74D6">
      <w:pPr>
        <w:bidi/>
        <w:jc w:val="both"/>
        <w:rPr>
          <w:rFonts w:ascii="Midan" w:hAnsi="Midan" w:cs="Midan"/>
          <w:sz w:val="28"/>
          <w:szCs w:val="28"/>
          <w:rtl/>
        </w:rPr>
      </w:pPr>
      <w:r w:rsidRPr="000A74D6">
        <w:rPr>
          <w:rFonts w:ascii="Midan" w:hAnsi="Midan" w:cs="Midan"/>
          <w:sz w:val="28"/>
          <w:szCs w:val="28"/>
          <w:rtl/>
        </w:rPr>
        <w:t xml:space="preserve">تعتبر جائزة </w:t>
      </w:r>
      <w:proofErr w:type="spellStart"/>
      <w:r w:rsidRPr="000A74D6">
        <w:rPr>
          <w:rFonts w:ascii="Midan" w:hAnsi="Midan" w:cs="Midan"/>
          <w:sz w:val="28"/>
          <w:szCs w:val="28"/>
          <w:rtl/>
        </w:rPr>
        <w:t>الآغا</w:t>
      </w:r>
      <w:proofErr w:type="spellEnd"/>
      <w:r w:rsidRPr="000A74D6">
        <w:rPr>
          <w:rFonts w:ascii="Midan" w:hAnsi="Midan" w:cs="Midan"/>
          <w:sz w:val="28"/>
          <w:szCs w:val="28"/>
          <w:rtl/>
        </w:rPr>
        <w:t xml:space="preserve"> خان واحدة من أقدم الجوائز المرموقة في مجال العمارة، وتختار المشاريع الفائزة- بدءًا من تلك التي تعنى بتحسين الأحياء الفقيرة، وانتهاء بالأبنية الخضراء- ليس استنادًا إلى تميزها على مستوى العمارة فقط، وإنما استنادًا، أيضًا، إلى ما تحدثه من فارق على مستوى تحسين جودة الحياة العامة في بلدانها. تكافئ جائزة </w:t>
      </w:r>
      <w:proofErr w:type="spellStart"/>
      <w:r w:rsidRPr="000A74D6">
        <w:rPr>
          <w:rFonts w:ascii="Midan" w:hAnsi="Midan" w:cs="Midan"/>
          <w:sz w:val="28"/>
          <w:szCs w:val="28"/>
          <w:rtl/>
        </w:rPr>
        <w:t>الآغا</w:t>
      </w:r>
      <w:proofErr w:type="spellEnd"/>
      <w:r w:rsidRPr="000A74D6">
        <w:rPr>
          <w:rFonts w:ascii="Midan" w:hAnsi="Midan" w:cs="Midan"/>
          <w:sz w:val="28"/>
          <w:szCs w:val="28"/>
          <w:rtl/>
        </w:rPr>
        <w:t xml:space="preserve"> خان المهندسين المعماريين، ولكنها، أيضًا، تشيد بالبلديات، وعمال البناء، والزبائن، والحرفيين، والمهندسين الذين لعبوا أدوارًا هامة في تنفيذ المشاريع.  </w:t>
      </w:r>
    </w:p>
    <w:p w14:paraId="10DFFF9C" w14:textId="77777777" w:rsidR="000A74D6" w:rsidRPr="000A74D6" w:rsidRDefault="000A74D6" w:rsidP="000A74D6">
      <w:pPr>
        <w:bidi/>
        <w:jc w:val="both"/>
        <w:rPr>
          <w:rFonts w:ascii="Midan" w:hAnsi="Midan" w:cs="Midan"/>
          <w:sz w:val="28"/>
          <w:szCs w:val="28"/>
          <w:rtl/>
        </w:rPr>
      </w:pPr>
    </w:p>
    <w:p w14:paraId="7CFF069E" w14:textId="76E8043F" w:rsidR="000A74D6" w:rsidRDefault="000A74D6" w:rsidP="000A74D6">
      <w:pPr>
        <w:bidi/>
        <w:jc w:val="both"/>
        <w:rPr>
          <w:rFonts w:ascii="Midan" w:hAnsi="Midan" w:cs="Midan"/>
          <w:sz w:val="28"/>
          <w:szCs w:val="28"/>
          <w:rtl/>
        </w:rPr>
      </w:pPr>
      <w:r w:rsidRPr="000A74D6">
        <w:rPr>
          <w:rFonts w:ascii="Midan" w:hAnsi="Midan" w:cs="Midan"/>
          <w:sz w:val="28"/>
          <w:szCs w:val="28"/>
          <w:rtl/>
        </w:rPr>
        <w:t xml:space="preserve">وفي هذا السياق، يقول السيد فرخ </w:t>
      </w:r>
      <w:proofErr w:type="spellStart"/>
      <w:r w:rsidRPr="000A74D6">
        <w:rPr>
          <w:rFonts w:ascii="Midan" w:hAnsi="Midan" w:cs="Midan"/>
          <w:sz w:val="28"/>
          <w:szCs w:val="28"/>
          <w:rtl/>
        </w:rPr>
        <w:t>درخشاني</w:t>
      </w:r>
      <w:proofErr w:type="spellEnd"/>
      <w:r w:rsidRPr="000A74D6">
        <w:rPr>
          <w:rFonts w:ascii="Midan" w:hAnsi="Midan" w:cs="Midan"/>
          <w:sz w:val="28"/>
          <w:szCs w:val="28"/>
          <w:rtl/>
        </w:rPr>
        <w:t xml:space="preserve">، مدير الجائزة: "المتحف الفلسطيني مُرضٍ على المستوى الجمالي وعلى مستوى مراعاته للمسؤولية البيئية، وهو ما يروّج لإمكانية التزاوج بين التصميم والاهتمامات البيئية في آن معًا". </w:t>
      </w:r>
    </w:p>
    <w:p w14:paraId="3DF7DD12" w14:textId="77777777" w:rsidR="000A74D6" w:rsidRPr="000A74D6" w:rsidRDefault="000A74D6" w:rsidP="000A74D6">
      <w:pPr>
        <w:bidi/>
        <w:jc w:val="both"/>
        <w:rPr>
          <w:rFonts w:ascii="Midan" w:hAnsi="Midan" w:cs="Midan"/>
          <w:sz w:val="28"/>
          <w:szCs w:val="28"/>
          <w:rtl/>
        </w:rPr>
      </w:pPr>
    </w:p>
    <w:p w14:paraId="5EADD2D5" w14:textId="0EF3EC99" w:rsidR="000A74D6" w:rsidRDefault="000A74D6" w:rsidP="000A74D6">
      <w:pPr>
        <w:bidi/>
        <w:jc w:val="both"/>
        <w:rPr>
          <w:rFonts w:ascii="Midan" w:hAnsi="Midan" w:cs="Midan"/>
          <w:sz w:val="28"/>
          <w:szCs w:val="28"/>
          <w:rtl/>
        </w:rPr>
      </w:pPr>
      <w:r w:rsidRPr="000A74D6">
        <w:rPr>
          <w:rFonts w:ascii="Midan" w:hAnsi="Midan" w:cs="Midan"/>
          <w:sz w:val="28"/>
          <w:szCs w:val="28"/>
          <w:rtl/>
        </w:rPr>
        <w:t>من ناحيتها</w:t>
      </w:r>
      <w:r>
        <w:rPr>
          <w:rFonts w:ascii="Midan" w:hAnsi="Midan" w:cs="Midan" w:hint="cs"/>
          <w:sz w:val="28"/>
          <w:szCs w:val="28"/>
          <w:rtl/>
        </w:rPr>
        <w:t>،</w:t>
      </w:r>
      <w:r>
        <w:rPr>
          <w:rFonts w:ascii="Midan" w:hAnsi="Midan" w:cs="Midan"/>
          <w:sz w:val="28"/>
          <w:szCs w:val="28"/>
          <w:rtl/>
        </w:rPr>
        <w:t xml:space="preserve"> أع</w:t>
      </w:r>
      <w:r>
        <w:rPr>
          <w:rFonts w:ascii="Midan" w:hAnsi="Midan" w:cs="Midan" w:hint="cs"/>
          <w:sz w:val="28"/>
          <w:szCs w:val="28"/>
          <w:rtl/>
        </w:rPr>
        <w:t>رب</w:t>
      </w:r>
      <w:r w:rsidRPr="000A74D6">
        <w:rPr>
          <w:rFonts w:ascii="Midan" w:hAnsi="Midan" w:cs="Midan"/>
          <w:sz w:val="28"/>
          <w:szCs w:val="28"/>
          <w:rtl/>
        </w:rPr>
        <w:t>ت د. عادلة العايدي – هنية</w:t>
      </w:r>
      <w:r>
        <w:rPr>
          <w:rFonts w:ascii="Midan" w:hAnsi="Midan" w:cs="Midan" w:hint="cs"/>
          <w:sz w:val="28"/>
          <w:szCs w:val="28"/>
          <w:rtl/>
        </w:rPr>
        <w:t>،</w:t>
      </w:r>
      <w:r w:rsidRPr="000A74D6">
        <w:rPr>
          <w:rFonts w:ascii="Midan" w:hAnsi="Midan" w:cs="Midan"/>
          <w:sz w:val="28"/>
          <w:szCs w:val="28"/>
          <w:rtl/>
        </w:rPr>
        <w:t xml:space="preserve"> مدير عام المتحف الفلسطيني، عن فخرها باختيار المتحف الفلسطيني ليكون ضمن القائمة القصيرة لجائزة عالمية رفيعة المستوى كجائزة </w:t>
      </w:r>
      <w:proofErr w:type="spellStart"/>
      <w:r>
        <w:rPr>
          <w:rFonts w:ascii="Midan" w:hAnsi="Midan" w:cs="Midan" w:hint="cs"/>
          <w:sz w:val="28"/>
          <w:szCs w:val="28"/>
          <w:rtl/>
        </w:rPr>
        <w:t>ال</w:t>
      </w:r>
      <w:r>
        <w:rPr>
          <w:rFonts w:ascii="Midan" w:hAnsi="Midan" w:cs="Midan"/>
          <w:sz w:val="28"/>
          <w:szCs w:val="28"/>
          <w:rtl/>
        </w:rPr>
        <w:t>آغا</w:t>
      </w:r>
      <w:proofErr w:type="spellEnd"/>
      <w:r>
        <w:rPr>
          <w:rFonts w:ascii="Midan" w:hAnsi="Midan" w:cs="Midan"/>
          <w:sz w:val="28"/>
          <w:szCs w:val="28"/>
          <w:rtl/>
        </w:rPr>
        <w:t xml:space="preserve"> خان للعمارة</w:t>
      </w:r>
      <w:r>
        <w:rPr>
          <w:rFonts w:ascii="Midan" w:hAnsi="Midan" w:cs="Midan" w:hint="cs"/>
          <w:sz w:val="28"/>
          <w:szCs w:val="28"/>
          <w:rtl/>
        </w:rPr>
        <w:t>،</w:t>
      </w:r>
      <w:r w:rsidRPr="000A74D6">
        <w:rPr>
          <w:rFonts w:ascii="Midan" w:hAnsi="Midan" w:cs="Midan"/>
          <w:sz w:val="28"/>
          <w:szCs w:val="28"/>
          <w:rtl/>
        </w:rPr>
        <w:t xml:space="preserve"> مؤكدة: "أن وصول المتحف لهذه المرحلة هو تقدير عالمي جديد يضاف إلى مجموعة من الإنجازات والجوائز التي حصدها المتحف على مستوى تصميمه المعماري وريادته كمبنى أخضر، وهذا يرفع من طموح المتحف ومستوى عمله ليرتقي دومًا إلى العالمية، ليس فقط من ناحية العمارة والبناء، بل في نقل الرواية الفلسطينية، وتعزيز مكانة فلسطين الثقافية حول العالم".</w:t>
      </w:r>
    </w:p>
    <w:p w14:paraId="495424A2" w14:textId="77777777" w:rsidR="000A74D6" w:rsidRPr="000A74D6" w:rsidRDefault="000A74D6" w:rsidP="000A74D6">
      <w:pPr>
        <w:bidi/>
        <w:jc w:val="both"/>
        <w:rPr>
          <w:rFonts w:ascii="Midan" w:hAnsi="Midan" w:cs="Midan"/>
          <w:sz w:val="28"/>
          <w:szCs w:val="28"/>
          <w:rtl/>
        </w:rPr>
      </w:pPr>
    </w:p>
    <w:p w14:paraId="4D7E23E6" w14:textId="4DFCA58A" w:rsidR="000A74D6" w:rsidRDefault="000A74D6" w:rsidP="000A74D6">
      <w:pPr>
        <w:bidi/>
        <w:jc w:val="both"/>
        <w:rPr>
          <w:rFonts w:ascii="Midan" w:hAnsi="Midan" w:cs="Midan"/>
          <w:sz w:val="28"/>
          <w:szCs w:val="28"/>
          <w:rtl/>
        </w:rPr>
      </w:pPr>
      <w:r w:rsidRPr="000A74D6">
        <w:rPr>
          <w:rFonts w:ascii="Midan" w:hAnsi="Midan" w:cs="Midan"/>
          <w:sz w:val="28"/>
          <w:szCs w:val="28"/>
          <w:rtl/>
        </w:rPr>
        <w:t xml:space="preserve">المتحف الفلسطيني المغطى بالحجر الجيري المحلي، يتوّج تلة تشرف على البحر الأبيض المتوسط، ويتناغم تصميمه مع المشاهد الطبيعية الريفية المحيطة </w:t>
      </w:r>
      <w:proofErr w:type="spellStart"/>
      <w:r w:rsidRPr="000A74D6">
        <w:rPr>
          <w:rFonts w:ascii="Midan" w:hAnsi="Midan" w:cs="Midan"/>
          <w:sz w:val="28"/>
          <w:szCs w:val="28"/>
          <w:rtl/>
        </w:rPr>
        <w:t>و"السناسل</w:t>
      </w:r>
      <w:proofErr w:type="spellEnd"/>
      <w:r w:rsidRPr="000A74D6">
        <w:rPr>
          <w:rFonts w:ascii="Midan" w:hAnsi="Midan" w:cs="Midan"/>
          <w:sz w:val="28"/>
          <w:szCs w:val="28"/>
          <w:rtl/>
        </w:rPr>
        <w:t xml:space="preserve">" الجبلية التي تمتاز بها التلال الفلسطينية. ولا ينسجم المبنى جماليًا مع البيئة المحيطة فحسب، ولكنه أيضًا حاصل على شهادة الذهبية للريادة في تصميمات الطاقة والبيئة </w:t>
      </w:r>
      <w:r>
        <w:rPr>
          <w:rFonts w:ascii="Midan" w:hAnsi="Midan" w:cs="Midan"/>
          <w:sz w:val="28"/>
          <w:szCs w:val="28"/>
        </w:rPr>
        <w:t>(</w:t>
      </w:r>
      <w:r w:rsidRPr="000A74D6">
        <w:rPr>
          <w:rFonts w:ascii="Midan" w:hAnsi="Midan" w:cs="Midan"/>
          <w:sz w:val="28"/>
          <w:szCs w:val="28"/>
        </w:rPr>
        <w:t>LEED</w:t>
      </w:r>
      <w:r>
        <w:rPr>
          <w:rFonts w:ascii="Midan" w:hAnsi="Midan" w:cs="Midan"/>
          <w:sz w:val="28"/>
          <w:szCs w:val="28"/>
        </w:rPr>
        <w:t>)</w:t>
      </w:r>
      <w:r w:rsidRPr="000A74D6">
        <w:rPr>
          <w:rFonts w:ascii="Midan" w:hAnsi="Midan" w:cs="Midan"/>
          <w:sz w:val="28"/>
          <w:szCs w:val="28"/>
          <w:rtl/>
        </w:rPr>
        <w:t xml:space="preserve">، بسبب تقنيات بنائه المستدامة. تروي حدائقه، التي تتدرج نزولًا على امتداد التل، حكاية التاريخ الزراعي والنباتي في فلسطين خلال مراحله المختلفة، بينما يحتضن المبنى في داخله، ويسلّط الضوء على الثقافة الفلسطينية من خلال معارضه ومرافقه التعليمية والبحثية. ويهدف المتحف الفلسطيني إلى الترويج للثقافة الفلسطينية على المستويين المحلي والدولي، ليس فقط كذكرى لماضيها، وإنما، أيضًا، كحاضنة للمشاريع والبرامج الإبداعية في الحاضر والمستقبل. </w:t>
      </w:r>
    </w:p>
    <w:p w14:paraId="6AED87B7" w14:textId="77777777" w:rsidR="000A74D6" w:rsidRPr="000A74D6" w:rsidRDefault="000A74D6" w:rsidP="000A74D6">
      <w:pPr>
        <w:bidi/>
        <w:jc w:val="both"/>
        <w:rPr>
          <w:rFonts w:ascii="Midan" w:hAnsi="Midan" w:cs="Midan"/>
          <w:sz w:val="28"/>
          <w:szCs w:val="28"/>
          <w:rtl/>
        </w:rPr>
      </w:pPr>
    </w:p>
    <w:p w14:paraId="7B340552" w14:textId="05004068" w:rsidR="000A74D6" w:rsidRDefault="000A74D6" w:rsidP="000A74D6">
      <w:pPr>
        <w:bidi/>
        <w:jc w:val="both"/>
        <w:rPr>
          <w:rFonts w:ascii="Midan" w:hAnsi="Midan" w:cs="Midan"/>
          <w:sz w:val="28"/>
          <w:szCs w:val="28"/>
        </w:rPr>
      </w:pPr>
      <w:r w:rsidRPr="000A74D6">
        <w:rPr>
          <w:rFonts w:ascii="Midan" w:hAnsi="Midan" w:cs="Midan"/>
          <w:sz w:val="28"/>
          <w:szCs w:val="28"/>
          <w:rtl/>
        </w:rPr>
        <w:t xml:space="preserve">ستخضع المشاريع المرشحة لمراجعات دقيقة من قبل خبراء مستقلين، سيعملون على تقييم كل مشروع في موقعه، وسيتم اعتماد تقاريرهم من قبل لجنة التحكيم العليا لاختيار الفائزين. تجدر الإشارة إلى أن جميع المشاريع المكلّفة من قبل </w:t>
      </w:r>
      <w:proofErr w:type="spellStart"/>
      <w:r>
        <w:rPr>
          <w:rFonts w:ascii="Midan" w:hAnsi="Midan" w:cs="Midan"/>
          <w:sz w:val="28"/>
          <w:szCs w:val="28"/>
          <w:rtl/>
        </w:rPr>
        <w:t>الآغا</w:t>
      </w:r>
      <w:proofErr w:type="spellEnd"/>
      <w:r w:rsidRPr="000A74D6">
        <w:rPr>
          <w:rFonts w:ascii="Midan" w:hAnsi="Midan" w:cs="Midan"/>
          <w:sz w:val="28"/>
          <w:szCs w:val="28"/>
          <w:rtl/>
        </w:rPr>
        <w:t xml:space="preserve"> خان أو إحدى مؤسسات شبكة </w:t>
      </w:r>
      <w:proofErr w:type="spellStart"/>
      <w:r>
        <w:rPr>
          <w:rFonts w:ascii="Midan" w:hAnsi="Midan" w:cs="Midan"/>
          <w:sz w:val="28"/>
          <w:szCs w:val="28"/>
          <w:rtl/>
        </w:rPr>
        <w:t>الآغا</w:t>
      </w:r>
      <w:proofErr w:type="spellEnd"/>
      <w:r w:rsidRPr="000A74D6">
        <w:rPr>
          <w:rFonts w:ascii="Midan" w:hAnsi="Midan" w:cs="Midan"/>
          <w:sz w:val="28"/>
          <w:szCs w:val="28"/>
          <w:rtl/>
        </w:rPr>
        <w:t xml:space="preserve"> خان للتنمية تعتبر مستثناة من</w:t>
      </w:r>
      <w:r>
        <w:rPr>
          <w:rFonts w:ascii="Midan" w:hAnsi="Midan" w:cs="Midan" w:hint="cs"/>
          <w:sz w:val="28"/>
          <w:szCs w:val="28"/>
          <w:rtl/>
        </w:rPr>
        <w:t xml:space="preserve"> الترشح</w:t>
      </w:r>
      <w:r>
        <w:rPr>
          <w:rFonts w:ascii="Midan" w:hAnsi="Midan" w:cs="Midan"/>
          <w:sz w:val="28"/>
          <w:szCs w:val="28"/>
          <w:rtl/>
        </w:rPr>
        <w:t xml:space="preserve"> </w:t>
      </w:r>
      <w:r>
        <w:rPr>
          <w:rFonts w:ascii="Midan" w:hAnsi="Midan" w:cs="Midan" w:hint="cs"/>
          <w:sz w:val="28"/>
          <w:szCs w:val="28"/>
          <w:rtl/>
        </w:rPr>
        <w:t>ل</w:t>
      </w:r>
      <w:r w:rsidRPr="000A74D6">
        <w:rPr>
          <w:rFonts w:ascii="Midan" w:hAnsi="Midan" w:cs="Midan"/>
          <w:sz w:val="28"/>
          <w:szCs w:val="28"/>
          <w:rtl/>
        </w:rPr>
        <w:t xml:space="preserve">لجائزة. ويشترط للتأهل لدورة العام 2019 ضمن هذه الجائزة، أن تكون المشاريع قد اكتملت في الفترة الواقعة بين 1 كانون الثاني 2012 و31 كانون الأول 2017، وفي طور الاستخدام لمدة لا تقل عن عامين. </w:t>
      </w:r>
    </w:p>
    <w:p w14:paraId="4FDA54A0" w14:textId="77777777" w:rsidR="000A74D6" w:rsidRPr="000A74D6" w:rsidRDefault="000A74D6" w:rsidP="000A74D6">
      <w:pPr>
        <w:bidi/>
        <w:jc w:val="both"/>
        <w:rPr>
          <w:rFonts w:ascii="Midan" w:hAnsi="Midan" w:cs="Midan"/>
          <w:sz w:val="28"/>
          <w:szCs w:val="28"/>
          <w:rtl/>
        </w:rPr>
      </w:pPr>
    </w:p>
    <w:p w14:paraId="15BD01AB" w14:textId="14D59860" w:rsidR="000A74D6" w:rsidRDefault="000A74D6" w:rsidP="000A74D6">
      <w:pPr>
        <w:bidi/>
        <w:jc w:val="both"/>
        <w:rPr>
          <w:rFonts w:ascii="Midan" w:hAnsi="Midan" w:cs="Midan"/>
          <w:sz w:val="28"/>
          <w:szCs w:val="28"/>
          <w:rtl/>
        </w:rPr>
      </w:pPr>
      <w:r w:rsidRPr="000A74D6">
        <w:rPr>
          <w:rFonts w:ascii="Midan" w:hAnsi="Midan" w:cs="Midan"/>
          <w:sz w:val="28"/>
          <w:szCs w:val="28"/>
          <w:rtl/>
        </w:rPr>
        <w:t xml:space="preserve">تأسست جائزة </w:t>
      </w:r>
      <w:proofErr w:type="spellStart"/>
      <w:r>
        <w:rPr>
          <w:rFonts w:ascii="Midan" w:hAnsi="Midan" w:cs="Midan"/>
          <w:sz w:val="28"/>
          <w:szCs w:val="28"/>
          <w:rtl/>
        </w:rPr>
        <w:t>الآغا</w:t>
      </w:r>
      <w:proofErr w:type="spellEnd"/>
      <w:r w:rsidRPr="000A74D6">
        <w:rPr>
          <w:rFonts w:ascii="Midan" w:hAnsi="Midan" w:cs="Midan"/>
          <w:sz w:val="28"/>
          <w:szCs w:val="28"/>
          <w:rtl/>
        </w:rPr>
        <w:t xml:space="preserve"> خان للعمارة من قبل الزعيم الروحي ورجل الأعمال </w:t>
      </w:r>
      <w:proofErr w:type="spellStart"/>
      <w:r>
        <w:rPr>
          <w:rFonts w:ascii="Midan" w:hAnsi="Midan" w:cs="Midan"/>
          <w:sz w:val="28"/>
          <w:szCs w:val="28"/>
          <w:rtl/>
        </w:rPr>
        <w:t>الآغا</w:t>
      </w:r>
      <w:proofErr w:type="spellEnd"/>
      <w:r w:rsidRPr="000A74D6">
        <w:rPr>
          <w:rFonts w:ascii="Midan" w:hAnsi="Midan" w:cs="Midan"/>
          <w:sz w:val="28"/>
          <w:szCs w:val="28"/>
          <w:rtl/>
        </w:rPr>
        <w:t xml:space="preserve"> خان الرابع في العام 1977 لتحديد وتشجيع المشاريع المعمارية التي تنجح في تلبية احتياجات وتطلعات المجتمعات التي يتواجد فيها المسلمون بأعداد كبيرة. تقدّر الجائزة نماذج معمارية تمتاز في مجالات التصميم المعاصر، والإسكان الاجتماعي، وتحسين المجتمعات وتطويرها، والحماية التاريخية، وإعادة استخدام المساحات وترميمها، بالإضافة إلى هندسة المناظر الطبيعية وتحسين البيئة. مُنحت الجائزة، منذ إطلاقها قبل 42 عامًا، لـ 116 مشروعًا، ووثقت أكثر من 9000 مشروع معماري.</w:t>
      </w:r>
    </w:p>
    <w:p w14:paraId="614366A0" w14:textId="71C4FA76" w:rsidR="00864BD3" w:rsidRDefault="00864BD3" w:rsidP="00864BD3">
      <w:pPr>
        <w:bidi/>
        <w:jc w:val="both"/>
        <w:rPr>
          <w:rFonts w:ascii="Midan" w:hAnsi="Midan" w:cs="Midan"/>
          <w:sz w:val="28"/>
          <w:szCs w:val="28"/>
          <w:rtl/>
        </w:rPr>
      </w:pPr>
    </w:p>
    <w:p w14:paraId="2CC9881D" w14:textId="230B32C9" w:rsidR="00864BD3" w:rsidRPr="000A74D6" w:rsidRDefault="00864BD3" w:rsidP="00864BD3">
      <w:pPr>
        <w:bidi/>
        <w:jc w:val="center"/>
        <w:rPr>
          <w:rFonts w:ascii="Midan" w:hAnsi="Midan" w:cs="Midan"/>
          <w:sz w:val="28"/>
          <w:szCs w:val="28"/>
          <w:rtl/>
        </w:rPr>
      </w:pPr>
      <w:r>
        <w:rPr>
          <w:rFonts w:ascii="Midan" w:hAnsi="Midan" w:cs="Midan" w:hint="cs"/>
          <w:sz w:val="28"/>
          <w:szCs w:val="28"/>
          <w:rtl/>
        </w:rPr>
        <w:t>انتهى</w:t>
      </w:r>
    </w:p>
    <w:p w14:paraId="02C4ADB3" w14:textId="77777777" w:rsidR="00864BD3" w:rsidRDefault="00864BD3" w:rsidP="000A74D6">
      <w:pPr>
        <w:bidi/>
        <w:jc w:val="both"/>
        <w:rPr>
          <w:rFonts w:ascii="Midan" w:hAnsi="Midan" w:cs="Midan"/>
          <w:sz w:val="28"/>
          <w:szCs w:val="28"/>
          <w:rtl/>
        </w:rPr>
      </w:pPr>
    </w:p>
    <w:p w14:paraId="0EF5BFBC" w14:textId="0D0137C1" w:rsidR="000A74D6" w:rsidRPr="000A74D6" w:rsidRDefault="000A74D6" w:rsidP="00864BD3">
      <w:pPr>
        <w:bidi/>
        <w:jc w:val="both"/>
        <w:rPr>
          <w:rFonts w:ascii="Midan" w:hAnsi="Midan" w:cs="Midan"/>
          <w:sz w:val="28"/>
          <w:szCs w:val="28"/>
          <w:rtl/>
        </w:rPr>
      </w:pPr>
      <w:r w:rsidRPr="000A74D6">
        <w:rPr>
          <w:rFonts w:ascii="Midan" w:hAnsi="Midan" w:cs="Midan"/>
          <w:sz w:val="28"/>
          <w:szCs w:val="28"/>
          <w:rtl/>
        </w:rPr>
        <w:t xml:space="preserve">للمزيد من المعلومات عن المشاريع التسعة عشر ضمن القائمة القصيرة، الرجاء زوروا الرابط </w:t>
      </w:r>
      <w:hyperlink r:id="rId7" w:history="1">
        <w:r w:rsidRPr="000A74D6">
          <w:rPr>
            <w:rStyle w:val="Hyperlink"/>
            <w:rFonts w:ascii="Midan" w:hAnsi="Midan" w:cs="Midan"/>
            <w:sz w:val="28"/>
            <w:szCs w:val="28"/>
          </w:rPr>
          <w:t>www.akdn.org/architecture</w:t>
        </w:r>
      </w:hyperlink>
      <w:r w:rsidRPr="000A74D6">
        <w:rPr>
          <w:rFonts w:ascii="Midan" w:hAnsi="Midan" w:cs="Midan"/>
          <w:sz w:val="28"/>
          <w:szCs w:val="28"/>
          <w:rtl/>
        </w:rPr>
        <w:t xml:space="preserve">، والملف الصحفي الكامل الذي يتضمن صورًا عالية الجودة لجميع الأعمال المرشحة عبر الرابط </w:t>
      </w:r>
      <w:hyperlink r:id="rId8" w:history="1">
        <w:r w:rsidRPr="000A74D6">
          <w:rPr>
            <w:rStyle w:val="Hyperlink"/>
            <w:rFonts w:ascii="Midan" w:hAnsi="Midan" w:cs="Midan"/>
            <w:sz w:val="28"/>
            <w:szCs w:val="28"/>
          </w:rPr>
          <w:t>www.akdn.org/2019ArchitectureAward</w:t>
        </w:r>
      </w:hyperlink>
      <w:r w:rsidRPr="000A74D6">
        <w:rPr>
          <w:rFonts w:ascii="Midan" w:hAnsi="Midan" w:cs="Midan"/>
          <w:sz w:val="28"/>
          <w:szCs w:val="28"/>
          <w:rtl/>
        </w:rPr>
        <w:t>.</w:t>
      </w:r>
    </w:p>
    <w:p w14:paraId="04C95522" w14:textId="77777777" w:rsidR="000A74D6" w:rsidRPr="000A74D6" w:rsidRDefault="000A74D6" w:rsidP="000A74D6">
      <w:pPr>
        <w:bidi/>
        <w:jc w:val="both"/>
        <w:rPr>
          <w:rFonts w:ascii="Midan" w:hAnsi="Midan" w:cs="Midan"/>
          <w:sz w:val="28"/>
          <w:szCs w:val="28"/>
          <w:rtl/>
        </w:rPr>
      </w:pPr>
    </w:p>
    <w:p w14:paraId="3AD3B7EB" w14:textId="77777777" w:rsidR="000A74D6" w:rsidRPr="000A74D6" w:rsidRDefault="000A74D6" w:rsidP="000A74D6">
      <w:pPr>
        <w:bidi/>
        <w:jc w:val="both"/>
        <w:rPr>
          <w:rFonts w:ascii="Midan" w:hAnsi="Midan" w:cs="Midan"/>
          <w:sz w:val="28"/>
          <w:szCs w:val="28"/>
          <w:rtl/>
        </w:rPr>
      </w:pPr>
    </w:p>
    <w:p w14:paraId="67437F8C" w14:textId="1962C4F3" w:rsidR="000A74D6" w:rsidRPr="00864BD3" w:rsidRDefault="00864BD3" w:rsidP="000A74D6">
      <w:pPr>
        <w:bidi/>
        <w:jc w:val="both"/>
        <w:rPr>
          <w:rFonts w:ascii="Midan" w:hAnsi="Midan" w:cs="Midan"/>
          <w:b/>
          <w:bCs/>
          <w:sz w:val="28"/>
          <w:szCs w:val="28"/>
        </w:rPr>
      </w:pPr>
      <w:r w:rsidRPr="00864BD3">
        <w:rPr>
          <w:rFonts w:ascii="Midan" w:hAnsi="Midan" w:cs="Midan" w:hint="cs"/>
          <w:b/>
          <w:bCs/>
          <w:sz w:val="28"/>
          <w:szCs w:val="28"/>
          <w:rtl/>
        </w:rPr>
        <w:t>عن جائزة الأغا خان</w:t>
      </w:r>
      <w:r>
        <w:rPr>
          <w:rFonts w:ascii="Midan" w:hAnsi="Midan" w:cs="Midan" w:hint="cs"/>
          <w:b/>
          <w:bCs/>
          <w:sz w:val="28"/>
          <w:szCs w:val="28"/>
          <w:rtl/>
        </w:rPr>
        <w:t>:</w:t>
      </w:r>
    </w:p>
    <w:p w14:paraId="2380FB26" w14:textId="7B4A84BB" w:rsidR="000A74D6" w:rsidRPr="000A74D6" w:rsidRDefault="000A74D6" w:rsidP="000A74D6">
      <w:pPr>
        <w:bidi/>
        <w:jc w:val="both"/>
        <w:rPr>
          <w:rFonts w:ascii="Midan" w:hAnsi="Midan" w:cs="Midan"/>
          <w:sz w:val="28"/>
          <w:szCs w:val="28"/>
        </w:rPr>
      </w:pPr>
      <w:r w:rsidRPr="000A74D6">
        <w:rPr>
          <w:rFonts w:ascii="Midan" w:hAnsi="Midan" w:cs="Midan"/>
          <w:sz w:val="28"/>
          <w:szCs w:val="28"/>
          <w:rtl/>
        </w:rPr>
        <w:t xml:space="preserve">تعتبر جائزة </w:t>
      </w:r>
      <w:proofErr w:type="spellStart"/>
      <w:r>
        <w:rPr>
          <w:rFonts w:ascii="Midan" w:hAnsi="Midan" w:cs="Midan"/>
          <w:sz w:val="28"/>
          <w:szCs w:val="28"/>
          <w:rtl/>
        </w:rPr>
        <w:t>الآغا</w:t>
      </w:r>
      <w:proofErr w:type="spellEnd"/>
      <w:r w:rsidRPr="000A74D6">
        <w:rPr>
          <w:rFonts w:ascii="Midan" w:hAnsi="Midan" w:cs="Midan"/>
          <w:sz w:val="28"/>
          <w:szCs w:val="28"/>
          <w:rtl/>
        </w:rPr>
        <w:t xml:space="preserve"> خان للعمارة جزءًا من شبكة </w:t>
      </w:r>
      <w:proofErr w:type="spellStart"/>
      <w:r>
        <w:rPr>
          <w:rFonts w:ascii="Midan" w:hAnsi="Midan" w:cs="Midan"/>
          <w:sz w:val="28"/>
          <w:szCs w:val="28"/>
          <w:rtl/>
        </w:rPr>
        <w:t>الآغا</w:t>
      </w:r>
      <w:proofErr w:type="spellEnd"/>
      <w:r w:rsidRPr="000A74D6">
        <w:rPr>
          <w:rFonts w:ascii="Midan" w:hAnsi="Midan" w:cs="Midan"/>
          <w:sz w:val="28"/>
          <w:szCs w:val="28"/>
          <w:rtl/>
        </w:rPr>
        <w:t xml:space="preserve"> خان للتنمية، وتدير حاليًا حوالي 1000 برنامج ومؤسسة في 30 دولة حول العالم. وتوظف الشبكة ما يقارب </w:t>
      </w:r>
      <w:r w:rsidRPr="000A74D6">
        <w:rPr>
          <w:rFonts w:ascii="Midan" w:hAnsi="Midan" w:cs="Midan"/>
          <w:sz w:val="28"/>
          <w:szCs w:val="28"/>
        </w:rPr>
        <w:t>80,000</w:t>
      </w:r>
      <w:r w:rsidRPr="000A74D6">
        <w:rPr>
          <w:rFonts w:ascii="Midan" w:hAnsi="Midan" w:cs="Midan"/>
          <w:sz w:val="28"/>
          <w:szCs w:val="28"/>
          <w:rtl/>
        </w:rPr>
        <w:t xml:space="preserve"> شخص، معظمهم يعملون في الدول النامية، وتصل موازنتها السنوية لصالح نشاطات التنمية غير الربحية إلى 950 مليون دولار. أما عائدات صندوق </w:t>
      </w:r>
      <w:proofErr w:type="spellStart"/>
      <w:r w:rsidRPr="000A74D6">
        <w:rPr>
          <w:rFonts w:ascii="Midan" w:hAnsi="Midan" w:cs="Midan"/>
          <w:sz w:val="28"/>
          <w:szCs w:val="28"/>
          <w:rtl/>
        </w:rPr>
        <w:t>الآغا</w:t>
      </w:r>
      <w:proofErr w:type="spellEnd"/>
      <w:r w:rsidRPr="000A74D6">
        <w:rPr>
          <w:rFonts w:ascii="Midan" w:hAnsi="Midan" w:cs="Midan"/>
          <w:sz w:val="28"/>
          <w:szCs w:val="28"/>
          <w:rtl/>
        </w:rPr>
        <w:t xml:space="preserve"> خان للتنمية الاقتصادية، وهو الذراع الاقتصادي لشبكة </w:t>
      </w:r>
      <w:proofErr w:type="spellStart"/>
      <w:r w:rsidRPr="000A74D6">
        <w:rPr>
          <w:rFonts w:ascii="Midan" w:hAnsi="Midan" w:cs="Midan"/>
          <w:sz w:val="28"/>
          <w:szCs w:val="28"/>
          <w:rtl/>
        </w:rPr>
        <w:t>الآغا</w:t>
      </w:r>
      <w:proofErr w:type="spellEnd"/>
      <w:r w:rsidRPr="000A74D6">
        <w:rPr>
          <w:rFonts w:ascii="Midan" w:hAnsi="Midan" w:cs="Midan"/>
          <w:sz w:val="28"/>
          <w:szCs w:val="28"/>
          <w:rtl/>
        </w:rPr>
        <w:t xml:space="preserve"> خان للتنمية، فتصل سنويًا إلى 4.3 مليار دولار أمريكي، يعاد استثمار جميع أرباحها في المزيد من التنمية، غالبًا في المناطق النائية أو النامية، أو المناطق التي شهدت نزاعات حول العالم. </w:t>
      </w:r>
    </w:p>
    <w:p w14:paraId="262F99C1" w14:textId="77777777" w:rsidR="000A74D6" w:rsidRDefault="000A74D6" w:rsidP="000A74D6">
      <w:pPr>
        <w:bidi/>
        <w:rPr>
          <w:rFonts w:ascii="Midan" w:hAnsi="Midan" w:cs="Midan"/>
          <w:sz w:val="28"/>
          <w:szCs w:val="28"/>
          <w:rtl/>
        </w:rPr>
      </w:pPr>
    </w:p>
    <w:p w14:paraId="0B2A3664" w14:textId="77777777" w:rsidR="000A74D6" w:rsidRDefault="000A74D6" w:rsidP="000A74D6">
      <w:pPr>
        <w:bidi/>
        <w:rPr>
          <w:rFonts w:ascii="Midan" w:hAnsi="Midan" w:cs="Midan"/>
          <w:sz w:val="28"/>
          <w:szCs w:val="28"/>
          <w:rtl/>
        </w:rPr>
      </w:pPr>
    </w:p>
    <w:p w14:paraId="6D75536C" w14:textId="77777777" w:rsidR="000A74D6" w:rsidRDefault="000A74D6" w:rsidP="000A74D6">
      <w:pPr>
        <w:bidi/>
        <w:rPr>
          <w:rFonts w:ascii="Midan" w:hAnsi="Midan" w:cs="Midan"/>
          <w:sz w:val="28"/>
          <w:szCs w:val="28"/>
          <w:rtl/>
        </w:rPr>
      </w:pPr>
    </w:p>
    <w:p w14:paraId="490E3FCF" w14:textId="77777777" w:rsidR="000A74D6" w:rsidRPr="00BB6205" w:rsidRDefault="000A74D6" w:rsidP="000A74D6">
      <w:pPr>
        <w:bidi/>
        <w:rPr>
          <w:rFonts w:ascii="Midan" w:hAnsi="Midan" w:cs="Midan"/>
          <w:sz w:val="28"/>
          <w:szCs w:val="28"/>
        </w:rPr>
      </w:pPr>
    </w:p>
    <w:p w14:paraId="66699CB5" w14:textId="7AA8A1CC" w:rsidR="00656BA2" w:rsidRPr="000A74D6" w:rsidRDefault="00656BA2" w:rsidP="000A74D6"/>
    <w:sectPr w:rsidR="00656BA2" w:rsidRPr="000A74D6" w:rsidSect="00FD5D18">
      <w:headerReference w:type="default" r:id="rId9"/>
      <w:footerReference w:type="default" r:id="rId10"/>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41DC" w14:textId="77777777" w:rsidR="0020613B" w:rsidRDefault="0020613B" w:rsidP="00FD5D18">
      <w:r>
        <w:separator/>
      </w:r>
    </w:p>
  </w:endnote>
  <w:endnote w:type="continuationSeparator" w:id="0">
    <w:p w14:paraId="5D3800B7" w14:textId="77777777" w:rsidR="0020613B" w:rsidRDefault="0020613B" w:rsidP="00FD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dan">
    <w:altName w:val="Arial"/>
    <w:panose1 w:val="02000506020000020004"/>
    <w:charset w:val="00"/>
    <w:family w:val="auto"/>
    <w:pitch w:val="variable"/>
    <w:sig w:usb0="00002003" w:usb1="C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Times New Roman"/>
    <w:panose1 w:val="00000000000000000000"/>
    <w:charset w:val="00"/>
    <w:family w:val="roman"/>
    <w:notTrueType/>
    <w:pitch w:val="default"/>
  </w:font>
  <w:font w:name="Lucida Grande">
    <w:altName w:val="Times New Roman"/>
    <w:charset w:val="00"/>
    <w:family w:val="auto"/>
    <w:pitch w:val="variable"/>
    <w:sig w:usb0="E1000AEF" w:usb1="5000A1FF" w:usb2="00000000" w:usb3="00000000" w:csb0="000001BF" w:csb1="00000000"/>
  </w:font>
  <w:font w:name="Shilia 330 Light">
    <w:panose1 w:val="020B0803030202020203"/>
    <w:charset w:val="00"/>
    <w:family w:val="swiss"/>
    <w:pitch w:val="variable"/>
    <w:sig w:usb0="00002003" w:usb1="C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A159" w14:textId="5A67A5F5" w:rsidR="00FD5D18" w:rsidRDefault="004F61CA">
    <w:pPr>
      <w:pStyle w:val="Footer"/>
    </w:pPr>
    <w:r>
      <w:rPr>
        <w:noProof/>
      </w:rPr>
      <w:drawing>
        <wp:inline distT="0" distB="0" distL="0" distR="0" wp14:anchorId="55568A75" wp14:editId="00C29A63">
          <wp:extent cx="6470904" cy="525324"/>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_NWEA.jpg"/>
                  <pic:cNvPicPr/>
                </pic:nvPicPr>
                <pic:blipFill>
                  <a:blip r:embed="rId1">
                    <a:extLst>
                      <a:ext uri="{28A0092B-C50C-407E-A947-70E740481C1C}">
                        <a14:useLocalDpi xmlns:a14="http://schemas.microsoft.com/office/drawing/2010/main" val="0"/>
                      </a:ext>
                    </a:extLst>
                  </a:blip>
                  <a:stretch>
                    <a:fillRect/>
                  </a:stretch>
                </pic:blipFill>
                <pic:spPr>
                  <a:xfrm>
                    <a:off x="0" y="0"/>
                    <a:ext cx="6470904" cy="5253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4505A" w14:textId="77777777" w:rsidR="0020613B" w:rsidRDefault="0020613B" w:rsidP="00FD5D18">
      <w:r>
        <w:separator/>
      </w:r>
    </w:p>
  </w:footnote>
  <w:footnote w:type="continuationSeparator" w:id="0">
    <w:p w14:paraId="5049FEC7" w14:textId="77777777" w:rsidR="0020613B" w:rsidRDefault="0020613B" w:rsidP="00FD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1015" w14:textId="77777777" w:rsidR="00FD5D18" w:rsidRDefault="00FD5D18" w:rsidP="00FD5D18">
    <w:pPr>
      <w:pStyle w:val="Header"/>
      <w:jc w:val="right"/>
    </w:pPr>
    <w:r>
      <w:rPr>
        <w:noProof/>
      </w:rPr>
      <w:drawing>
        <wp:inline distT="0" distB="0" distL="0" distR="0" wp14:anchorId="39BF5F9B" wp14:editId="7DC38323">
          <wp:extent cx="1645920" cy="1386840"/>
          <wp:effectExtent l="0" t="0" r="508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abic.jpg"/>
                  <pic:cNvPicPr/>
                </pic:nvPicPr>
                <pic:blipFill>
                  <a:blip r:embed="rId1">
                    <a:extLst>
                      <a:ext uri="{28A0092B-C50C-407E-A947-70E740481C1C}">
                        <a14:useLocalDpi xmlns:a14="http://schemas.microsoft.com/office/drawing/2010/main" val="0"/>
                      </a:ext>
                    </a:extLst>
                  </a:blip>
                  <a:stretch>
                    <a:fillRect/>
                  </a:stretch>
                </pic:blipFill>
                <pic:spPr>
                  <a:xfrm>
                    <a:off x="0" y="0"/>
                    <a:ext cx="1645920" cy="1386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B0"/>
    <w:multiLevelType w:val="hybridMultilevel"/>
    <w:tmpl w:val="565EC28C"/>
    <w:lvl w:ilvl="0" w:tplc="E87ED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363C"/>
    <w:multiLevelType w:val="hybridMultilevel"/>
    <w:tmpl w:val="C53053EC"/>
    <w:lvl w:ilvl="0" w:tplc="E87ED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72BE"/>
    <w:multiLevelType w:val="hybridMultilevel"/>
    <w:tmpl w:val="839A41EA"/>
    <w:lvl w:ilvl="0" w:tplc="E87ED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62906"/>
    <w:multiLevelType w:val="hybridMultilevel"/>
    <w:tmpl w:val="1DD6204E"/>
    <w:lvl w:ilvl="0" w:tplc="E87ED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E149D"/>
    <w:multiLevelType w:val="hybridMultilevel"/>
    <w:tmpl w:val="234EB376"/>
    <w:lvl w:ilvl="0" w:tplc="E87ED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06B3D"/>
    <w:multiLevelType w:val="hybridMultilevel"/>
    <w:tmpl w:val="85DCB4C8"/>
    <w:lvl w:ilvl="0" w:tplc="E87ED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C4156"/>
    <w:multiLevelType w:val="hybridMultilevel"/>
    <w:tmpl w:val="6204D1CC"/>
    <w:lvl w:ilvl="0" w:tplc="E87ED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E87ED068">
      <w:numFmt w:val="bullet"/>
      <w:lvlText w:val="-"/>
      <w:lvlJc w:val="left"/>
      <w:pPr>
        <w:ind w:left="785"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9775C"/>
    <w:multiLevelType w:val="hybridMultilevel"/>
    <w:tmpl w:val="973EA0BA"/>
    <w:lvl w:ilvl="0" w:tplc="E87ED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64FDA"/>
    <w:multiLevelType w:val="multilevel"/>
    <w:tmpl w:val="6844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537BF"/>
    <w:multiLevelType w:val="hybridMultilevel"/>
    <w:tmpl w:val="B46AD164"/>
    <w:lvl w:ilvl="0" w:tplc="E87ED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C6C49"/>
    <w:multiLevelType w:val="hybridMultilevel"/>
    <w:tmpl w:val="D89C931A"/>
    <w:lvl w:ilvl="0" w:tplc="E87ED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25151"/>
    <w:multiLevelType w:val="hybridMultilevel"/>
    <w:tmpl w:val="0C14A3D6"/>
    <w:lvl w:ilvl="0" w:tplc="0582946A">
      <w:numFmt w:val="bullet"/>
      <w:lvlText w:val="-"/>
      <w:lvlJc w:val="left"/>
      <w:pPr>
        <w:ind w:left="720" w:hanging="360"/>
      </w:pPr>
      <w:rPr>
        <w:rFonts w:ascii="Midan" w:eastAsiaTheme="minorEastAsia" w:hAnsi="Midan" w:cs="Mid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63BD3"/>
    <w:multiLevelType w:val="hybridMultilevel"/>
    <w:tmpl w:val="4A88D506"/>
    <w:lvl w:ilvl="0" w:tplc="E87ED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83F68"/>
    <w:multiLevelType w:val="multilevel"/>
    <w:tmpl w:val="7F78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876998"/>
    <w:multiLevelType w:val="hybridMultilevel"/>
    <w:tmpl w:val="73921128"/>
    <w:lvl w:ilvl="0" w:tplc="E87ED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B5BB8"/>
    <w:multiLevelType w:val="multilevel"/>
    <w:tmpl w:val="9906EB70"/>
    <w:lvl w:ilvl="0">
      <w:start w:val="1"/>
      <w:numFmt w:val="bullet"/>
      <w:lvlText w:val=""/>
      <w:lvlJc w:val="left"/>
      <w:pPr>
        <w:tabs>
          <w:tab w:val="num" w:pos="720"/>
        </w:tabs>
        <w:ind w:left="720" w:hanging="360"/>
      </w:pPr>
      <w:rPr>
        <w:rFonts w:ascii="Symbol" w:hAnsi="Symbol" w:cs="Symbol" w:hint="default"/>
        <w:sz w:val="20"/>
      </w:rPr>
    </w:lvl>
    <w:lvl w:ilvl="1">
      <w:numFmt w:val="bullet"/>
      <w:lvlText w:val="-"/>
      <w:lvlJc w:val="left"/>
      <w:pPr>
        <w:ind w:left="540" w:hanging="360"/>
      </w:pPr>
      <w:rPr>
        <w:rFonts w:ascii="Avenir" w:eastAsia="Times New Roman" w:hAnsi="Avenir" w:cs="Mid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033B0"/>
    <w:multiLevelType w:val="hybridMultilevel"/>
    <w:tmpl w:val="A606AEEA"/>
    <w:lvl w:ilvl="0" w:tplc="E87ED0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E6DC8"/>
    <w:multiLevelType w:val="hybridMultilevel"/>
    <w:tmpl w:val="BF2A5026"/>
    <w:lvl w:ilvl="0" w:tplc="03423D2A">
      <w:numFmt w:val="bullet"/>
      <w:lvlText w:val="-"/>
      <w:lvlJc w:val="left"/>
      <w:pPr>
        <w:ind w:left="720" w:hanging="360"/>
      </w:pPr>
      <w:rPr>
        <w:rFonts w:ascii="Midan" w:eastAsiaTheme="minorEastAsia" w:hAnsi="Midan" w:cs="Mid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6"/>
  </w:num>
  <w:num w:numId="4">
    <w:abstractNumId w:val="5"/>
  </w:num>
  <w:num w:numId="5">
    <w:abstractNumId w:val="11"/>
  </w:num>
  <w:num w:numId="6">
    <w:abstractNumId w:val="3"/>
  </w:num>
  <w:num w:numId="7">
    <w:abstractNumId w:val="1"/>
  </w:num>
  <w:num w:numId="8">
    <w:abstractNumId w:val="0"/>
  </w:num>
  <w:num w:numId="9">
    <w:abstractNumId w:val="12"/>
  </w:num>
  <w:num w:numId="10">
    <w:abstractNumId w:val="10"/>
  </w:num>
  <w:num w:numId="11">
    <w:abstractNumId w:val="2"/>
  </w:num>
  <w:num w:numId="12">
    <w:abstractNumId w:val="14"/>
  </w:num>
  <w:num w:numId="13">
    <w:abstractNumId w:val="7"/>
  </w:num>
  <w:num w:numId="14">
    <w:abstractNumId w:val="16"/>
  </w:num>
  <w:num w:numId="15">
    <w:abstractNumId w:val="9"/>
  </w:num>
  <w:num w:numId="16">
    <w:abstractNumId w:val="1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18"/>
    <w:rsid w:val="00004F91"/>
    <w:rsid w:val="000231EB"/>
    <w:rsid w:val="00027257"/>
    <w:rsid w:val="00036113"/>
    <w:rsid w:val="00040AF9"/>
    <w:rsid w:val="00057DED"/>
    <w:rsid w:val="00087F34"/>
    <w:rsid w:val="000A3148"/>
    <w:rsid w:val="000A65A7"/>
    <w:rsid w:val="000A74D6"/>
    <w:rsid w:val="000D4D5D"/>
    <w:rsid w:val="000E063E"/>
    <w:rsid w:val="000F0DF7"/>
    <w:rsid w:val="000F6FA5"/>
    <w:rsid w:val="00104D93"/>
    <w:rsid w:val="0010704B"/>
    <w:rsid w:val="001408CF"/>
    <w:rsid w:val="001B73B6"/>
    <w:rsid w:val="001F63EC"/>
    <w:rsid w:val="0020613B"/>
    <w:rsid w:val="00206D70"/>
    <w:rsid w:val="00215493"/>
    <w:rsid w:val="002218F2"/>
    <w:rsid w:val="00243B84"/>
    <w:rsid w:val="00296640"/>
    <w:rsid w:val="002A7727"/>
    <w:rsid w:val="002C49C5"/>
    <w:rsid w:val="002F5171"/>
    <w:rsid w:val="00301AE9"/>
    <w:rsid w:val="00306271"/>
    <w:rsid w:val="00323489"/>
    <w:rsid w:val="003267C6"/>
    <w:rsid w:val="00350BBE"/>
    <w:rsid w:val="00373572"/>
    <w:rsid w:val="00380516"/>
    <w:rsid w:val="00466E67"/>
    <w:rsid w:val="004714E8"/>
    <w:rsid w:val="00482728"/>
    <w:rsid w:val="004D082E"/>
    <w:rsid w:val="004D4B4E"/>
    <w:rsid w:val="004F61CA"/>
    <w:rsid w:val="005210D5"/>
    <w:rsid w:val="00543C22"/>
    <w:rsid w:val="00551DFC"/>
    <w:rsid w:val="00554BAD"/>
    <w:rsid w:val="0057472E"/>
    <w:rsid w:val="005758EF"/>
    <w:rsid w:val="00576DE3"/>
    <w:rsid w:val="00597F01"/>
    <w:rsid w:val="005B05D0"/>
    <w:rsid w:val="005C034E"/>
    <w:rsid w:val="00655904"/>
    <w:rsid w:val="00656BA2"/>
    <w:rsid w:val="00697F17"/>
    <w:rsid w:val="006A30F8"/>
    <w:rsid w:val="006B0112"/>
    <w:rsid w:val="006B2081"/>
    <w:rsid w:val="006F6498"/>
    <w:rsid w:val="007067A6"/>
    <w:rsid w:val="00711C11"/>
    <w:rsid w:val="00713C9D"/>
    <w:rsid w:val="00716819"/>
    <w:rsid w:val="00746458"/>
    <w:rsid w:val="007A172F"/>
    <w:rsid w:val="007C3E25"/>
    <w:rsid w:val="00827725"/>
    <w:rsid w:val="00845B0C"/>
    <w:rsid w:val="00847A1F"/>
    <w:rsid w:val="00864BD3"/>
    <w:rsid w:val="0091681B"/>
    <w:rsid w:val="00943AB3"/>
    <w:rsid w:val="00963032"/>
    <w:rsid w:val="009B75BC"/>
    <w:rsid w:val="009C4DFB"/>
    <w:rsid w:val="009F15A4"/>
    <w:rsid w:val="00A06B4C"/>
    <w:rsid w:val="00A133AE"/>
    <w:rsid w:val="00A402DF"/>
    <w:rsid w:val="00A612D8"/>
    <w:rsid w:val="00A65894"/>
    <w:rsid w:val="00AB28B9"/>
    <w:rsid w:val="00B01013"/>
    <w:rsid w:val="00B156FE"/>
    <w:rsid w:val="00B23262"/>
    <w:rsid w:val="00B25194"/>
    <w:rsid w:val="00B37DE7"/>
    <w:rsid w:val="00B42110"/>
    <w:rsid w:val="00B5108D"/>
    <w:rsid w:val="00B608A9"/>
    <w:rsid w:val="00B73550"/>
    <w:rsid w:val="00B80D78"/>
    <w:rsid w:val="00B810DE"/>
    <w:rsid w:val="00B87A91"/>
    <w:rsid w:val="00BB4E01"/>
    <w:rsid w:val="00BC3CC6"/>
    <w:rsid w:val="00BF283E"/>
    <w:rsid w:val="00C0261B"/>
    <w:rsid w:val="00C33F0D"/>
    <w:rsid w:val="00C61A4F"/>
    <w:rsid w:val="00C91BF4"/>
    <w:rsid w:val="00CA66FF"/>
    <w:rsid w:val="00CE7FD1"/>
    <w:rsid w:val="00CF4C60"/>
    <w:rsid w:val="00D02981"/>
    <w:rsid w:val="00D11ECA"/>
    <w:rsid w:val="00D1680B"/>
    <w:rsid w:val="00D2401D"/>
    <w:rsid w:val="00D550AA"/>
    <w:rsid w:val="00D5602B"/>
    <w:rsid w:val="00D81935"/>
    <w:rsid w:val="00D94EA2"/>
    <w:rsid w:val="00DA634E"/>
    <w:rsid w:val="00DB682F"/>
    <w:rsid w:val="00E03181"/>
    <w:rsid w:val="00E04A1F"/>
    <w:rsid w:val="00E32CBD"/>
    <w:rsid w:val="00E338AA"/>
    <w:rsid w:val="00E92FAD"/>
    <w:rsid w:val="00EC0639"/>
    <w:rsid w:val="00EC17F3"/>
    <w:rsid w:val="00ED18C6"/>
    <w:rsid w:val="00ED6899"/>
    <w:rsid w:val="00ED7A51"/>
    <w:rsid w:val="00EE5C3C"/>
    <w:rsid w:val="00EF1C6C"/>
    <w:rsid w:val="00F26721"/>
    <w:rsid w:val="00F568D6"/>
    <w:rsid w:val="00F633AE"/>
    <w:rsid w:val="00F6512F"/>
    <w:rsid w:val="00F97D09"/>
    <w:rsid w:val="00FD5D18"/>
    <w:rsid w:val="00FE61C5"/>
    <w:rsid w:val="00FE6409"/>
    <w:rsid w:val="00FF76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8C93E"/>
  <w14:defaultImageDpi w14:val="300"/>
  <w15:docId w15:val="{42F79670-E6A8-4473-A6B6-7462FEDE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D18"/>
    <w:pPr>
      <w:tabs>
        <w:tab w:val="center" w:pos="4320"/>
        <w:tab w:val="right" w:pos="8640"/>
      </w:tabs>
    </w:pPr>
  </w:style>
  <w:style w:type="character" w:customStyle="1" w:styleId="HeaderChar">
    <w:name w:val="Header Char"/>
    <w:basedOn w:val="DefaultParagraphFont"/>
    <w:link w:val="Header"/>
    <w:uiPriority w:val="99"/>
    <w:rsid w:val="00FD5D18"/>
  </w:style>
  <w:style w:type="paragraph" w:styleId="Footer">
    <w:name w:val="footer"/>
    <w:basedOn w:val="Normal"/>
    <w:link w:val="FooterChar"/>
    <w:uiPriority w:val="99"/>
    <w:unhideWhenUsed/>
    <w:rsid w:val="00FD5D18"/>
    <w:pPr>
      <w:tabs>
        <w:tab w:val="center" w:pos="4320"/>
        <w:tab w:val="right" w:pos="8640"/>
      </w:tabs>
    </w:pPr>
  </w:style>
  <w:style w:type="character" w:customStyle="1" w:styleId="FooterChar">
    <w:name w:val="Footer Char"/>
    <w:basedOn w:val="DefaultParagraphFont"/>
    <w:link w:val="Footer"/>
    <w:uiPriority w:val="99"/>
    <w:rsid w:val="00FD5D18"/>
  </w:style>
  <w:style w:type="paragraph" w:styleId="BalloonText">
    <w:name w:val="Balloon Text"/>
    <w:basedOn w:val="Normal"/>
    <w:link w:val="BalloonTextChar"/>
    <w:uiPriority w:val="99"/>
    <w:semiHidden/>
    <w:unhideWhenUsed/>
    <w:rsid w:val="00FD5D18"/>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D18"/>
    <w:rPr>
      <w:rFonts w:ascii="Lucida Grande" w:hAnsi="Lucida Grande"/>
      <w:sz w:val="18"/>
      <w:szCs w:val="18"/>
    </w:rPr>
  </w:style>
  <w:style w:type="paragraph" w:styleId="ListParagraph">
    <w:name w:val="List Paragraph"/>
    <w:basedOn w:val="Normal"/>
    <w:uiPriority w:val="34"/>
    <w:qFormat/>
    <w:rsid w:val="00350BBE"/>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350BBE"/>
    <w:rPr>
      <w:color w:val="0000FF" w:themeColor="hyperlink"/>
      <w:u w:val="single"/>
    </w:rPr>
  </w:style>
  <w:style w:type="character" w:styleId="UnresolvedMention">
    <w:name w:val="Unresolved Mention"/>
    <w:basedOn w:val="DefaultParagraphFont"/>
    <w:uiPriority w:val="99"/>
    <w:semiHidden/>
    <w:unhideWhenUsed/>
    <w:rsid w:val="006B2081"/>
    <w:rPr>
      <w:color w:val="808080"/>
      <w:shd w:val="clear" w:color="auto" w:fill="E6E6E6"/>
    </w:rPr>
  </w:style>
  <w:style w:type="character" w:styleId="CommentReference">
    <w:name w:val="annotation reference"/>
    <w:basedOn w:val="DefaultParagraphFont"/>
    <w:uiPriority w:val="99"/>
    <w:semiHidden/>
    <w:unhideWhenUsed/>
    <w:rsid w:val="00A65894"/>
    <w:rPr>
      <w:sz w:val="16"/>
      <w:szCs w:val="16"/>
    </w:rPr>
  </w:style>
  <w:style w:type="paragraph" w:styleId="CommentText">
    <w:name w:val="annotation text"/>
    <w:basedOn w:val="Normal"/>
    <w:link w:val="CommentTextChar"/>
    <w:uiPriority w:val="99"/>
    <w:semiHidden/>
    <w:unhideWhenUsed/>
    <w:rsid w:val="00A65894"/>
    <w:rPr>
      <w:sz w:val="20"/>
      <w:szCs w:val="20"/>
    </w:rPr>
  </w:style>
  <w:style w:type="character" w:customStyle="1" w:styleId="CommentTextChar">
    <w:name w:val="Comment Text Char"/>
    <w:basedOn w:val="DefaultParagraphFont"/>
    <w:link w:val="CommentText"/>
    <w:uiPriority w:val="99"/>
    <w:semiHidden/>
    <w:rsid w:val="00A65894"/>
    <w:rPr>
      <w:sz w:val="20"/>
      <w:szCs w:val="20"/>
    </w:rPr>
  </w:style>
  <w:style w:type="paragraph" w:styleId="CommentSubject">
    <w:name w:val="annotation subject"/>
    <w:basedOn w:val="CommentText"/>
    <w:next w:val="CommentText"/>
    <w:link w:val="CommentSubjectChar"/>
    <w:uiPriority w:val="99"/>
    <w:semiHidden/>
    <w:unhideWhenUsed/>
    <w:rsid w:val="00A65894"/>
    <w:rPr>
      <w:b/>
      <w:bCs/>
    </w:rPr>
  </w:style>
  <w:style w:type="character" w:customStyle="1" w:styleId="CommentSubjectChar">
    <w:name w:val="Comment Subject Char"/>
    <w:basedOn w:val="CommentTextChar"/>
    <w:link w:val="CommentSubject"/>
    <w:uiPriority w:val="99"/>
    <w:semiHidden/>
    <w:rsid w:val="00A65894"/>
    <w:rPr>
      <w:b/>
      <w:bCs/>
      <w:sz w:val="20"/>
      <w:szCs w:val="20"/>
    </w:rPr>
  </w:style>
  <w:style w:type="paragraph" w:styleId="NormalWeb">
    <w:name w:val="Normal (Web)"/>
    <w:basedOn w:val="Normal"/>
    <w:uiPriority w:val="99"/>
    <w:semiHidden/>
    <w:unhideWhenUsed/>
    <w:rsid w:val="00576DE3"/>
    <w:pPr>
      <w:spacing w:before="100" w:beforeAutospacing="1" w:after="100" w:afterAutospacing="1"/>
    </w:pPr>
    <w:rPr>
      <w:rFonts w:ascii="Times New Roman" w:eastAsia="Times New Roman" w:hAnsi="Times New Roman" w:cs="Times New Roman"/>
    </w:rPr>
  </w:style>
  <w:style w:type="character" w:customStyle="1" w:styleId="ar-title-font">
    <w:name w:val="ar-title-font"/>
    <w:basedOn w:val="DefaultParagraphFont"/>
    <w:rsid w:val="00087F34"/>
  </w:style>
  <w:style w:type="character" w:customStyle="1" w:styleId="ar-text-font">
    <w:name w:val="ar-text-font"/>
    <w:basedOn w:val="DefaultParagraphFont"/>
    <w:rsid w:val="0008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2699">
      <w:bodyDiv w:val="1"/>
      <w:marLeft w:val="0"/>
      <w:marRight w:val="0"/>
      <w:marTop w:val="0"/>
      <w:marBottom w:val="0"/>
      <w:divBdr>
        <w:top w:val="none" w:sz="0" w:space="0" w:color="auto"/>
        <w:left w:val="none" w:sz="0" w:space="0" w:color="auto"/>
        <w:bottom w:val="none" w:sz="0" w:space="0" w:color="auto"/>
        <w:right w:val="none" w:sz="0" w:space="0" w:color="auto"/>
      </w:divBdr>
    </w:div>
    <w:div w:id="349138033">
      <w:bodyDiv w:val="1"/>
      <w:marLeft w:val="0"/>
      <w:marRight w:val="0"/>
      <w:marTop w:val="0"/>
      <w:marBottom w:val="0"/>
      <w:divBdr>
        <w:top w:val="none" w:sz="0" w:space="0" w:color="auto"/>
        <w:left w:val="none" w:sz="0" w:space="0" w:color="auto"/>
        <w:bottom w:val="none" w:sz="0" w:space="0" w:color="auto"/>
        <w:right w:val="none" w:sz="0" w:space="0" w:color="auto"/>
      </w:divBdr>
    </w:div>
    <w:div w:id="616722879">
      <w:bodyDiv w:val="1"/>
      <w:marLeft w:val="0"/>
      <w:marRight w:val="0"/>
      <w:marTop w:val="0"/>
      <w:marBottom w:val="0"/>
      <w:divBdr>
        <w:top w:val="none" w:sz="0" w:space="0" w:color="auto"/>
        <w:left w:val="none" w:sz="0" w:space="0" w:color="auto"/>
        <w:bottom w:val="none" w:sz="0" w:space="0" w:color="auto"/>
        <w:right w:val="none" w:sz="0" w:space="0" w:color="auto"/>
      </w:divBdr>
    </w:div>
    <w:div w:id="678893280">
      <w:bodyDiv w:val="1"/>
      <w:marLeft w:val="0"/>
      <w:marRight w:val="0"/>
      <w:marTop w:val="0"/>
      <w:marBottom w:val="0"/>
      <w:divBdr>
        <w:top w:val="none" w:sz="0" w:space="0" w:color="auto"/>
        <w:left w:val="none" w:sz="0" w:space="0" w:color="auto"/>
        <w:bottom w:val="none" w:sz="0" w:space="0" w:color="auto"/>
        <w:right w:val="none" w:sz="0" w:space="0" w:color="auto"/>
      </w:divBdr>
    </w:div>
    <w:div w:id="1340963529">
      <w:bodyDiv w:val="1"/>
      <w:marLeft w:val="0"/>
      <w:marRight w:val="0"/>
      <w:marTop w:val="0"/>
      <w:marBottom w:val="0"/>
      <w:divBdr>
        <w:top w:val="none" w:sz="0" w:space="0" w:color="auto"/>
        <w:left w:val="none" w:sz="0" w:space="0" w:color="auto"/>
        <w:bottom w:val="none" w:sz="0" w:space="0" w:color="auto"/>
        <w:right w:val="none" w:sz="0" w:space="0" w:color="auto"/>
      </w:divBdr>
    </w:div>
    <w:div w:id="145582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dn.org/2019ArchitectureAward" TargetMode="External"/><Relationship Id="rId3" Type="http://schemas.openxmlformats.org/officeDocument/2006/relationships/settings" Target="settings.xml"/><Relationship Id="rId7" Type="http://schemas.openxmlformats.org/officeDocument/2006/relationships/hyperlink" Target="http://www.akdn.org/architec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Haneen Makho</cp:lastModifiedBy>
  <cp:revision>2</cp:revision>
  <cp:lastPrinted>2019-04-01T07:33:00Z</cp:lastPrinted>
  <dcterms:created xsi:type="dcterms:W3CDTF">2019-04-25T12:09:00Z</dcterms:created>
  <dcterms:modified xsi:type="dcterms:W3CDTF">2019-04-25T12:09:00Z</dcterms:modified>
</cp:coreProperties>
</file>